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67853" w:rsidRDefault="00F92268" w:rsidP="00850792">
      <w:pPr>
        <w:pStyle w:val="BodyText"/>
        <w:rPr>
          <w:sz w:val="6"/>
          <w:szCs w:val="6"/>
        </w:rPr>
      </w:pPr>
      <w:r w:rsidRPr="0006785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6785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67853" w:rsidRDefault="00F92268" w:rsidP="00F246C7">
            <w:pPr>
              <w:pStyle w:val="RefTableData"/>
            </w:pPr>
            <w:r w:rsidRPr="00067853">
              <w:t>Reference number(s)</w:t>
            </w:r>
          </w:p>
        </w:tc>
      </w:tr>
      <w:tr w:rsidR="00F92268" w:rsidRPr="0006785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8E38643" w:rsidR="00F92268" w:rsidRPr="00067853" w:rsidRDefault="00384E75" w:rsidP="00F246C7">
            <w:pPr>
              <w:pStyle w:val="RefTableHeader"/>
            </w:pPr>
            <w:r w:rsidRPr="00067853">
              <w:t>2152-A</w:t>
            </w:r>
          </w:p>
        </w:tc>
      </w:tr>
    </w:tbl>
    <w:p w14:paraId="74FBA5B4" w14:textId="77777777" w:rsidR="00051356" w:rsidRPr="00067853" w:rsidRDefault="00051356" w:rsidP="00A672B3">
      <w:pPr>
        <w:pStyle w:val="BodyText"/>
        <w:rPr>
          <w:b/>
          <w:bCs/>
          <w:sz w:val="16"/>
          <w:szCs w:val="16"/>
        </w:rPr>
        <w:sectPr w:rsidR="00051356" w:rsidRPr="00067853" w:rsidSect="006859D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1F2991A" w:rsidR="004B15BB" w:rsidRPr="00067853" w:rsidRDefault="00384E75" w:rsidP="007E5C16">
      <w:pPr>
        <w:pStyle w:val="Heading1"/>
      </w:pPr>
      <w:r w:rsidRPr="00067853">
        <w:t>Specialty Guideline Management</w:t>
      </w:r>
      <w:r w:rsidR="008C54D9" w:rsidRPr="00067853">
        <w:br/>
      </w:r>
      <w:r w:rsidRPr="00067853">
        <w:t>Xgeva</w:t>
      </w:r>
      <w:r w:rsidR="00382CDA">
        <w:t xml:space="preserve"> and Biosimilars</w:t>
      </w:r>
    </w:p>
    <w:p w14:paraId="78861C92" w14:textId="0BD3D548" w:rsidR="00203468" w:rsidRPr="00067853" w:rsidRDefault="00C64534" w:rsidP="008E0F0D">
      <w:pPr>
        <w:pStyle w:val="Heading2"/>
      </w:pPr>
      <w:r w:rsidRPr="00067853">
        <w:t xml:space="preserve">Products Referenced by this </w:t>
      </w:r>
      <w:r w:rsidR="00501602" w:rsidRPr="00067853">
        <w:t>Document</w:t>
      </w:r>
    </w:p>
    <w:p w14:paraId="5455152B" w14:textId="03BD5901" w:rsidR="008E0F0D" w:rsidRPr="00067853" w:rsidRDefault="00D82D85" w:rsidP="008B73E8">
      <w:pPr>
        <w:pStyle w:val="BodyText"/>
      </w:pPr>
      <w:r w:rsidRPr="00067853">
        <w:t xml:space="preserve">Drugs that are listed in the </w:t>
      </w:r>
      <w:r w:rsidR="000315F1" w:rsidRPr="00067853">
        <w:t>following table</w:t>
      </w:r>
      <w:r w:rsidRPr="00067853">
        <w:t xml:space="preserve"> include both brand and generic and all dosage forms and strengths unless otherwise stated. </w:t>
      </w:r>
      <w:r w:rsidR="00A808DB">
        <w:t>Over-the-counter (</w:t>
      </w:r>
      <w:r w:rsidRPr="00067853">
        <w:t>OTC</w:t>
      </w:r>
      <w:r w:rsidR="00A808DB">
        <w:t>)</w:t>
      </w:r>
      <w:r w:rsidRPr="0006785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067853" w14:paraId="158421F8" w14:textId="77777777" w:rsidTr="000C5A6F">
        <w:trPr>
          <w:cantSplit/>
          <w:trHeight w:val="288"/>
          <w:tblHeader/>
        </w:trPr>
        <w:tc>
          <w:tcPr>
            <w:tcW w:w="5265" w:type="dxa"/>
            <w:vAlign w:val="center"/>
          </w:tcPr>
          <w:p w14:paraId="2A27354A" w14:textId="1390179E" w:rsidR="00252CE1" w:rsidRPr="00067853" w:rsidRDefault="00252CE1" w:rsidP="00AA1E6A">
            <w:pPr>
              <w:pStyle w:val="TableHeader"/>
            </w:pPr>
            <w:bookmarkStart w:id="0" w:name="_Hlk159603270"/>
            <w:r w:rsidRPr="00067853">
              <w:t>Brand Name</w:t>
            </w:r>
          </w:p>
        </w:tc>
        <w:tc>
          <w:tcPr>
            <w:tcW w:w="5595" w:type="dxa"/>
            <w:vAlign w:val="center"/>
          </w:tcPr>
          <w:p w14:paraId="3D342BE1" w14:textId="75F11EF1" w:rsidR="00252CE1" w:rsidRPr="00067853" w:rsidRDefault="00252CE1" w:rsidP="00AA1E6A">
            <w:pPr>
              <w:pStyle w:val="TableHeader"/>
            </w:pPr>
            <w:r w:rsidRPr="00067853">
              <w:t>Generic Name</w:t>
            </w:r>
          </w:p>
        </w:tc>
      </w:tr>
      <w:tr w:rsidR="00585FFF" w:rsidRPr="00067853" w14:paraId="2AD5C02D" w14:textId="77777777" w:rsidTr="000C5A6F">
        <w:trPr>
          <w:cantSplit/>
        </w:trPr>
        <w:tc>
          <w:tcPr>
            <w:tcW w:w="5265" w:type="dxa"/>
          </w:tcPr>
          <w:p w14:paraId="2D8FA8E3" w14:textId="58A9F230" w:rsidR="00585FFF" w:rsidRPr="00067853" w:rsidRDefault="00384E75" w:rsidP="00E82ABA">
            <w:pPr>
              <w:pStyle w:val="TableDataUnpadded"/>
            </w:pPr>
            <w:r w:rsidRPr="00067853">
              <w:t>Xgeva</w:t>
            </w:r>
          </w:p>
        </w:tc>
        <w:tc>
          <w:tcPr>
            <w:tcW w:w="5595" w:type="dxa"/>
          </w:tcPr>
          <w:p w14:paraId="7E26A004" w14:textId="2460AA77" w:rsidR="00585FFF" w:rsidRPr="00067853" w:rsidRDefault="00384E75" w:rsidP="00E82ABA">
            <w:pPr>
              <w:pStyle w:val="TableDataUnpadded"/>
            </w:pPr>
            <w:r w:rsidRPr="00067853">
              <w:t>denosumab</w:t>
            </w:r>
          </w:p>
        </w:tc>
      </w:tr>
      <w:tr w:rsidR="009D46A2" w:rsidRPr="00067853" w14:paraId="78C96B3B" w14:textId="77777777" w:rsidTr="000C5A6F">
        <w:trPr>
          <w:cantSplit/>
        </w:trPr>
        <w:tc>
          <w:tcPr>
            <w:tcW w:w="5265" w:type="dxa"/>
          </w:tcPr>
          <w:p w14:paraId="084A3803" w14:textId="78FBC15D" w:rsidR="009D46A2" w:rsidRDefault="009D46A2" w:rsidP="00E82ABA">
            <w:pPr>
              <w:pStyle w:val="TableDataUnpadded"/>
            </w:pPr>
            <w:proofErr w:type="spellStart"/>
            <w:r>
              <w:t>Bomyntra</w:t>
            </w:r>
            <w:proofErr w:type="spellEnd"/>
          </w:p>
        </w:tc>
        <w:tc>
          <w:tcPr>
            <w:tcW w:w="5595" w:type="dxa"/>
          </w:tcPr>
          <w:p w14:paraId="225382B0" w14:textId="2FB50B39" w:rsidR="009D46A2" w:rsidRDefault="009D46A2" w:rsidP="00E82ABA">
            <w:pPr>
              <w:pStyle w:val="TableDataUnpadded"/>
            </w:pPr>
            <w:r>
              <w:t>denosumab-</w:t>
            </w:r>
            <w:proofErr w:type="spellStart"/>
            <w:r>
              <w:t>bnht</w:t>
            </w:r>
            <w:proofErr w:type="spellEnd"/>
          </w:p>
        </w:tc>
      </w:tr>
      <w:tr w:rsidR="00BC5DD7" w:rsidRPr="00067853" w14:paraId="7A6BA47D" w14:textId="77777777" w:rsidTr="000C5A6F">
        <w:trPr>
          <w:cantSplit/>
        </w:trPr>
        <w:tc>
          <w:tcPr>
            <w:tcW w:w="5265" w:type="dxa"/>
          </w:tcPr>
          <w:p w14:paraId="36ACE9E8" w14:textId="7A74FA43" w:rsidR="00BC5DD7" w:rsidRPr="00067853" w:rsidRDefault="00BC5DD7" w:rsidP="00E82ABA">
            <w:pPr>
              <w:pStyle w:val="TableDataUnpadded"/>
            </w:pPr>
            <w:r>
              <w:t>Osenvelt</w:t>
            </w:r>
          </w:p>
        </w:tc>
        <w:tc>
          <w:tcPr>
            <w:tcW w:w="5595" w:type="dxa"/>
          </w:tcPr>
          <w:p w14:paraId="22964898" w14:textId="46895A85" w:rsidR="00BC5DD7" w:rsidRPr="00067853" w:rsidRDefault="00BC5DD7" w:rsidP="00E82ABA">
            <w:pPr>
              <w:pStyle w:val="TableDataUnpadded"/>
            </w:pPr>
            <w:r>
              <w:t>denosumab-</w:t>
            </w:r>
            <w:proofErr w:type="spellStart"/>
            <w:r>
              <w:t>bmwo</w:t>
            </w:r>
            <w:proofErr w:type="spellEnd"/>
          </w:p>
        </w:tc>
      </w:tr>
      <w:tr w:rsidR="00D86576" w:rsidRPr="00067853" w14:paraId="23D3B4E5" w14:textId="77777777" w:rsidTr="000C5A6F">
        <w:trPr>
          <w:cantSplit/>
        </w:trPr>
        <w:tc>
          <w:tcPr>
            <w:tcW w:w="5265" w:type="dxa"/>
          </w:tcPr>
          <w:p w14:paraId="02483EAF" w14:textId="4846EE9D" w:rsidR="00D86576" w:rsidRPr="00067853" w:rsidRDefault="00D86576" w:rsidP="00E82ABA">
            <w:pPr>
              <w:pStyle w:val="TableDataUnpadded"/>
            </w:pPr>
            <w:proofErr w:type="spellStart"/>
            <w:r w:rsidRPr="0067003B">
              <w:t>Wyost</w:t>
            </w:r>
            <w:proofErr w:type="spellEnd"/>
          </w:p>
        </w:tc>
        <w:tc>
          <w:tcPr>
            <w:tcW w:w="5595" w:type="dxa"/>
          </w:tcPr>
          <w:p w14:paraId="28998017" w14:textId="617BFC06" w:rsidR="00D86576" w:rsidRPr="00067853" w:rsidRDefault="00D86576" w:rsidP="00E82ABA">
            <w:pPr>
              <w:pStyle w:val="TableDataUnpadded"/>
            </w:pPr>
            <w:r>
              <w:t>denosumab-</w:t>
            </w:r>
            <w:proofErr w:type="spellStart"/>
            <w:r>
              <w:t>bbdz</w:t>
            </w:r>
            <w:proofErr w:type="spellEnd"/>
          </w:p>
        </w:tc>
      </w:tr>
      <w:tr w:rsidR="00585BD0" w:rsidRPr="00067853" w14:paraId="38788435" w14:textId="77777777" w:rsidTr="000C5A6F">
        <w:trPr>
          <w:cantSplit/>
        </w:trPr>
        <w:tc>
          <w:tcPr>
            <w:tcW w:w="5265" w:type="dxa"/>
          </w:tcPr>
          <w:p w14:paraId="245CF182" w14:textId="7D61D1F7" w:rsidR="00585BD0" w:rsidRPr="0067003B" w:rsidRDefault="00585BD0" w:rsidP="00E82ABA">
            <w:pPr>
              <w:pStyle w:val="TableDataUnpadded"/>
            </w:pPr>
            <w:r>
              <w:t>X</w:t>
            </w:r>
            <w:r w:rsidR="00611331">
              <w:t>bryk</w:t>
            </w:r>
          </w:p>
        </w:tc>
        <w:tc>
          <w:tcPr>
            <w:tcW w:w="5595" w:type="dxa"/>
          </w:tcPr>
          <w:p w14:paraId="1CA9C85E" w14:textId="7D1DCEC1" w:rsidR="00585BD0" w:rsidRDefault="00611331" w:rsidP="00E82ABA">
            <w:pPr>
              <w:pStyle w:val="TableDataUnpadded"/>
            </w:pPr>
            <w:r>
              <w:t>denosumab-</w:t>
            </w:r>
            <w:proofErr w:type="spellStart"/>
            <w:r>
              <w:t>ds</w:t>
            </w:r>
            <w:r w:rsidR="004B616A">
              <w:t>sb</w:t>
            </w:r>
            <w:proofErr w:type="spellEnd"/>
          </w:p>
        </w:tc>
      </w:tr>
    </w:tbl>
    <w:bookmarkEnd w:id="0"/>
    <w:p w14:paraId="14CE6108" w14:textId="767C3F8F" w:rsidR="00FC1AAD" w:rsidRPr="00067853" w:rsidRDefault="00ED052F" w:rsidP="00AA2A94">
      <w:pPr>
        <w:pStyle w:val="Heading2"/>
        <w:tabs>
          <w:tab w:val="left" w:pos="9540"/>
        </w:tabs>
      </w:pPr>
      <w:r w:rsidRPr="00067853">
        <w:t>Indications</w:t>
      </w:r>
    </w:p>
    <w:p w14:paraId="53301009" w14:textId="6B6D2103" w:rsidR="00384E75" w:rsidRPr="00067853" w:rsidRDefault="00384E75" w:rsidP="00384E75">
      <w:pPr>
        <w:pStyle w:val="BodyText"/>
      </w:pPr>
      <w:r w:rsidRPr="00067853">
        <w:t>The indications below including FDA-approved indications and compendial uses are considered a covered benefit provided that all the approval criteria are met and the member has no exclusions to the prescribed therapy.</w:t>
      </w:r>
    </w:p>
    <w:p w14:paraId="23F33D2E" w14:textId="1C749ADA" w:rsidR="00A30F8D" w:rsidRPr="00C0555E" w:rsidRDefault="00ED052F" w:rsidP="00782949">
      <w:pPr>
        <w:pStyle w:val="Heading3"/>
        <w:keepNext w:val="0"/>
        <w:rPr>
          <w:vertAlign w:val="superscript"/>
        </w:rPr>
      </w:pPr>
      <w:r w:rsidRPr="00067853">
        <w:t>FDA-</w:t>
      </w:r>
      <w:r w:rsidR="00067853" w:rsidRPr="00067853">
        <w:t>A</w:t>
      </w:r>
      <w:r w:rsidRPr="00067853">
        <w:t>pproved Indications</w:t>
      </w:r>
      <w:r w:rsidR="00384E75" w:rsidRPr="00067853">
        <w:rPr>
          <w:vertAlign w:val="superscript"/>
        </w:rPr>
        <w:t>1</w:t>
      </w:r>
      <w:r w:rsidR="00D17BD4">
        <w:rPr>
          <w:vertAlign w:val="superscript"/>
        </w:rPr>
        <w:t>-</w:t>
      </w:r>
      <w:r w:rsidR="003D663F">
        <w:rPr>
          <w:vertAlign w:val="superscript"/>
        </w:rPr>
        <w:t>5</w:t>
      </w:r>
    </w:p>
    <w:p w14:paraId="6AC3A253" w14:textId="77777777" w:rsidR="00384E75" w:rsidRPr="00067853" w:rsidRDefault="00384E75" w:rsidP="00067853">
      <w:pPr>
        <w:pStyle w:val="ListParagraph"/>
        <w:numPr>
          <w:ilvl w:val="0"/>
          <w:numId w:val="32"/>
        </w:numPr>
      </w:pPr>
      <w:r w:rsidRPr="00067853">
        <w:t>Prevention of skeletal-related events in patients with multiple myeloma and in patients with bone metastases from solid tumors</w:t>
      </w:r>
    </w:p>
    <w:p w14:paraId="6E372BEE" w14:textId="77777777" w:rsidR="00384E75" w:rsidRPr="00067853" w:rsidRDefault="00384E75" w:rsidP="00067853">
      <w:pPr>
        <w:pStyle w:val="ListParagraph"/>
        <w:numPr>
          <w:ilvl w:val="0"/>
          <w:numId w:val="32"/>
        </w:numPr>
      </w:pPr>
      <w:r w:rsidRPr="00067853">
        <w:t>Treatment of adults and skeletally mature adolescents with giant cell tumor of bone that is unresectable or where surgical resection is likely to result in severe morbidity</w:t>
      </w:r>
    </w:p>
    <w:p w14:paraId="3058A5F8" w14:textId="64022291" w:rsidR="005C778C" w:rsidRPr="00067853" w:rsidRDefault="00384E75" w:rsidP="00067853">
      <w:pPr>
        <w:pStyle w:val="ListParagraph"/>
        <w:numPr>
          <w:ilvl w:val="0"/>
          <w:numId w:val="32"/>
        </w:numPr>
      </w:pPr>
      <w:r w:rsidRPr="00067853">
        <w:t>Treatment of hypercalcemia of malignancy refractory to bisphosphonate therapy</w:t>
      </w:r>
    </w:p>
    <w:p w14:paraId="0B5EC236" w14:textId="4065528B" w:rsidR="0044763A" w:rsidRPr="00067853" w:rsidRDefault="009F2EF1" w:rsidP="0044763A">
      <w:pPr>
        <w:pStyle w:val="Heading3"/>
      </w:pPr>
      <w:r w:rsidRPr="00067853">
        <w:t>Compendial Uses</w:t>
      </w:r>
      <w:r w:rsidR="003D663F">
        <w:rPr>
          <w:vertAlign w:val="superscript"/>
        </w:rPr>
        <w:t>6</w:t>
      </w:r>
    </w:p>
    <w:p w14:paraId="00E50C4D" w14:textId="77777777" w:rsidR="00384E75" w:rsidRPr="00067853" w:rsidRDefault="00384E75" w:rsidP="00067853">
      <w:pPr>
        <w:pStyle w:val="ListParagraph"/>
        <w:numPr>
          <w:ilvl w:val="0"/>
          <w:numId w:val="33"/>
        </w:numPr>
      </w:pPr>
      <w:r w:rsidRPr="00067853">
        <w:t>Second-line therapy for osteopenia/osteoporosis in patients with systemic mastocytosis</w:t>
      </w:r>
    </w:p>
    <w:p w14:paraId="111B6143" w14:textId="6E159B52" w:rsidR="00384E75" w:rsidRPr="00067853" w:rsidRDefault="00384E75" w:rsidP="00067853">
      <w:pPr>
        <w:pStyle w:val="ListParagraph"/>
        <w:numPr>
          <w:ilvl w:val="0"/>
          <w:numId w:val="33"/>
        </w:numPr>
        <w:spacing w:after="120"/>
      </w:pPr>
      <w:r w:rsidRPr="00067853">
        <w:lastRenderedPageBreak/>
        <w:t>Thyroid cancer as palliative care for bone metastases</w:t>
      </w:r>
    </w:p>
    <w:p w14:paraId="0D5A9DD5" w14:textId="55919B92" w:rsidR="009A5649" w:rsidRPr="00067853" w:rsidRDefault="009A5649" w:rsidP="00067853">
      <w:pPr>
        <w:pStyle w:val="BodyText"/>
        <w:rPr>
          <w:rFonts w:eastAsia="Arial"/>
        </w:rPr>
      </w:pPr>
      <w:r w:rsidRPr="00067853">
        <w:t xml:space="preserve">All other indications are considered experimental/investigational and </w:t>
      </w:r>
      <w:r w:rsidRPr="00067853">
        <w:rPr>
          <w:rFonts w:eastAsia="Arial"/>
        </w:rPr>
        <w:t>not medically necessary.</w:t>
      </w:r>
    </w:p>
    <w:p w14:paraId="50A38FBA" w14:textId="4E0A0B4D" w:rsidR="00FE0C63" w:rsidRPr="00067853" w:rsidRDefault="00685107" w:rsidP="00BD6EAD">
      <w:pPr>
        <w:pStyle w:val="Heading2"/>
      </w:pPr>
      <w:r w:rsidRPr="00067853">
        <w:t>Coverage Criteria</w:t>
      </w:r>
    </w:p>
    <w:p w14:paraId="6D64009B" w14:textId="0A1C84ED" w:rsidR="00384E75" w:rsidRPr="00067853" w:rsidRDefault="00384E75" w:rsidP="00BD6EAD">
      <w:pPr>
        <w:pStyle w:val="Heading3"/>
        <w:keepNext w:val="0"/>
      </w:pPr>
      <w:r w:rsidRPr="00067853">
        <w:t xml:space="preserve">Multiple </w:t>
      </w:r>
      <w:r w:rsidR="00067853" w:rsidRPr="00067853">
        <w:t>Myeloma</w:t>
      </w:r>
      <w:r w:rsidR="00067853" w:rsidRPr="00067853">
        <w:rPr>
          <w:vertAlign w:val="superscript"/>
        </w:rPr>
        <w:t>1</w:t>
      </w:r>
      <w:r w:rsidR="00A30F8D">
        <w:rPr>
          <w:vertAlign w:val="superscript"/>
        </w:rPr>
        <w:t>-</w:t>
      </w:r>
      <w:r w:rsidR="003D663F">
        <w:rPr>
          <w:vertAlign w:val="superscript"/>
        </w:rPr>
        <w:t>6</w:t>
      </w:r>
    </w:p>
    <w:p w14:paraId="30783E7C" w14:textId="781A4774" w:rsidR="00384E75" w:rsidRPr="00067853" w:rsidRDefault="00384E75" w:rsidP="00067853">
      <w:pPr>
        <w:pStyle w:val="BodyText"/>
      </w:pPr>
      <w:r w:rsidRPr="00067853">
        <w:t>Authorization of 12 months may be granted for prevention of skeletal-related events in members with multiple myeloma.</w:t>
      </w:r>
    </w:p>
    <w:p w14:paraId="32BE20F0" w14:textId="03243731" w:rsidR="00384E75" w:rsidRPr="00067853" w:rsidRDefault="00384E75" w:rsidP="00384E75">
      <w:pPr>
        <w:pStyle w:val="Heading3"/>
      </w:pPr>
      <w:r w:rsidRPr="00067853">
        <w:t xml:space="preserve">Bone </w:t>
      </w:r>
      <w:r w:rsidR="00067853" w:rsidRPr="00067853">
        <w:t xml:space="preserve">Metastases </w:t>
      </w:r>
      <w:r w:rsidR="00BF48AC">
        <w:t>F</w:t>
      </w:r>
      <w:r w:rsidR="00067853" w:rsidRPr="00067853">
        <w:t xml:space="preserve">rom </w:t>
      </w:r>
      <w:r w:rsidR="00BF48AC">
        <w:t>a</w:t>
      </w:r>
      <w:r w:rsidR="00067853" w:rsidRPr="00067853">
        <w:t xml:space="preserve"> Solid Tumor</w:t>
      </w:r>
      <w:r w:rsidR="00067853" w:rsidRPr="00067853">
        <w:rPr>
          <w:vertAlign w:val="superscript"/>
        </w:rPr>
        <w:t>1</w:t>
      </w:r>
      <w:r w:rsidR="00A30F8D">
        <w:rPr>
          <w:vertAlign w:val="superscript"/>
        </w:rPr>
        <w:t>-</w:t>
      </w:r>
      <w:r w:rsidR="003D663F">
        <w:rPr>
          <w:vertAlign w:val="superscript"/>
        </w:rPr>
        <w:t>6</w:t>
      </w:r>
    </w:p>
    <w:p w14:paraId="6896991F" w14:textId="430252E8" w:rsidR="00384E75" w:rsidRPr="00067853" w:rsidRDefault="00384E75" w:rsidP="00384E75">
      <w:pPr>
        <w:pStyle w:val="BodyText"/>
      </w:pPr>
      <w:r w:rsidRPr="00067853">
        <w:t>Authorization of 12 months may be granted for either of the following:</w:t>
      </w:r>
    </w:p>
    <w:p w14:paraId="0D438313" w14:textId="77777777" w:rsidR="00384E75" w:rsidRPr="00067853" w:rsidRDefault="00384E75" w:rsidP="00067853">
      <w:pPr>
        <w:pStyle w:val="ListParagraph"/>
        <w:numPr>
          <w:ilvl w:val="0"/>
          <w:numId w:val="34"/>
        </w:numPr>
      </w:pPr>
      <w:r w:rsidRPr="00067853">
        <w:t>For prevention of skeletal-related events in members with bone metastases from a solid tumor (e.g., breast cancer, non-small cell lung cancer, thyroid carcinoma, kidney cancer, prostate cancer)</w:t>
      </w:r>
    </w:p>
    <w:p w14:paraId="1722BEE0" w14:textId="720830B6" w:rsidR="00384E75" w:rsidRPr="00067853" w:rsidRDefault="00384E75" w:rsidP="00067853">
      <w:pPr>
        <w:pStyle w:val="ListParagraph"/>
        <w:numPr>
          <w:ilvl w:val="0"/>
          <w:numId w:val="34"/>
        </w:numPr>
      </w:pPr>
      <w:r w:rsidRPr="00067853">
        <w:t>As palliative care for bone metastases from thyroid carcinoma</w:t>
      </w:r>
    </w:p>
    <w:p w14:paraId="0292D811" w14:textId="1F660408" w:rsidR="00384E75" w:rsidRPr="00067853" w:rsidRDefault="00384E75" w:rsidP="00384E75">
      <w:pPr>
        <w:pStyle w:val="Heading3"/>
      </w:pPr>
      <w:r w:rsidRPr="00067853">
        <w:t xml:space="preserve">Giant </w:t>
      </w:r>
      <w:r w:rsidR="00067853" w:rsidRPr="00067853">
        <w:t>Cell Tumor of Bone</w:t>
      </w:r>
      <w:r w:rsidR="00067853" w:rsidRPr="00067853">
        <w:rPr>
          <w:vertAlign w:val="superscript"/>
        </w:rPr>
        <w:t>1</w:t>
      </w:r>
      <w:r w:rsidR="00A30F8D">
        <w:rPr>
          <w:vertAlign w:val="superscript"/>
        </w:rPr>
        <w:t>-</w:t>
      </w:r>
      <w:r w:rsidR="003D663F">
        <w:rPr>
          <w:vertAlign w:val="superscript"/>
        </w:rPr>
        <w:t>6</w:t>
      </w:r>
    </w:p>
    <w:p w14:paraId="5677A6CB" w14:textId="718A7C0A" w:rsidR="00384E75" w:rsidRPr="00067853" w:rsidRDefault="00384E75" w:rsidP="00067853">
      <w:pPr>
        <w:pStyle w:val="BodyText"/>
      </w:pPr>
      <w:r w:rsidRPr="00067853">
        <w:t>Authorization of 12 months may be granted for treatment of giant cell tumor of bone.</w:t>
      </w:r>
    </w:p>
    <w:p w14:paraId="79200F98" w14:textId="754A93E6" w:rsidR="00384E75" w:rsidRPr="00067853" w:rsidRDefault="00384E75" w:rsidP="00384E75">
      <w:pPr>
        <w:pStyle w:val="Heading3"/>
      </w:pPr>
      <w:r w:rsidRPr="00067853">
        <w:t xml:space="preserve">Hypercalcemia </w:t>
      </w:r>
      <w:r w:rsidR="00067853" w:rsidRPr="00067853">
        <w:t>of Malignancy</w:t>
      </w:r>
      <w:r w:rsidR="00067853" w:rsidRPr="00067853">
        <w:rPr>
          <w:vertAlign w:val="superscript"/>
        </w:rPr>
        <w:t>1</w:t>
      </w:r>
      <w:r w:rsidR="00D17BD4">
        <w:rPr>
          <w:vertAlign w:val="superscript"/>
        </w:rPr>
        <w:t>-</w:t>
      </w:r>
      <w:r w:rsidR="003D663F">
        <w:rPr>
          <w:vertAlign w:val="superscript"/>
        </w:rPr>
        <w:t>5</w:t>
      </w:r>
      <w:r w:rsidR="00D17BD4">
        <w:rPr>
          <w:vertAlign w:val="superscript"/>
        </w:rPr>
        <w:t>,</w:t>
      </w:r>
      <w:r w:rsidR="003D663F">
        <w:rPr>
          <w:vertAlign w:val="superscript"/>
        </w:rPr>
        <w:t>7</w:t>
      </w:r>
    </w:p>
    <w:p w14:paraId="5E034489" w14:textId="77777777" w:rsidR="00384E75" w:rsidRPr="00067853" w:rsidRDefault="00384E75" w:rsidP="00067853">
      <w:pPr>
        <w:pStyle w:val="BodyText"/>
      </w:pPr>
      <w:r w:rsidRPr="00067853">
        <w:t>Authorization of 2 months may be granted for treatment of hypercalcemia of malignancy that is refractory to intravenous (IV) bisphosphonate therapy OR there is a clinical reason to avoid IV bisphosphonate therapy (see Appendix).</w:t>
      </w:r>
    </w:p>
    <w:p w14:paraId="623ABEA6" w14:textId="4918E533" w:rsidR="00384E75" w:rsidRPr="00067853" w:rsidRDefault="00384E75" w:rsidP="00384E75">
      <w:pPr>
        <w:pStyle w:val="Heading3"/>
      </w:pPr>
      <w:r w:rsidRPr="00067853">
        <w:t xml:space="preserve">Systemic </w:t>
      </w:r>
      <w:r w:rsidR="00067853" w:rsidRPr="00067853">
        <w:t>Mastocytosis</w:t>
      </w:r>
      <w:r w:rsidR="003D663F">
        <w:rPr>
          <w:vertAlign w:val="superscript"/>
        </w:rPr>
        <w:t>6</w:t>
      </w:r>
    </w:p>
    <w:p w14:paraId="6BAC9C8B" w14:textId="02B0DEDE" w:rsidR="00384E75" w:rsidRPr="00067853" w:rsidRDefault="00384E75" w:rsidP="00067853">
      <w:pPr>
        <w:pStyle w:val="BodyText"/>
      </w:pPr>
      <w:r w:rsidRPr="00067853">
        <w:t>Authorization of 12 months may be granted for second-line therapy for osteopenia or osteoporosis in members with systemic mastocytosis that have not responded to therapy with bisphosphonates or who are not candidates for bisphosphonates because of renal insufficiency.</w:t>
      </w:r>
    </w:p>
    <w:p w14:paraId="3A643EC3" w14:textId="1F042F7B" w:rsidR="00A501AC" w:rsidRPr="00067853" w:rsidRDefault="00A501AC" w:rsidP="00A501AC">
      <w:pPr>
        <w:pStyle w:val="Heading2"/>
      </w:pPr>
      <w:r w:rsidRPr="00067853">
        <w:t>Continuation of Therapy</w:t>
      </w:r>
    </w:p>
    <w:p w14:paraId="714099D4" w14:textId="742BBFC7" w:rsidR="00384E75" w:rsidRPr="00067853" w:rsidRDefault="00384E75" w:rsidP="00384E75">
      <w:pPr>
        <w:pStyle w:val="Heading3"/>
      </w:pPr>
      <w:r w:rsidRPr="00067853">
        <w:t xml:space="preserve">Hypercalcemia </w:t>
      </w:r>
      <w:r w:rsidR="00067853" w:rsidRPr="00067853">
        <w:t>of Malignancy</w:t>
      </w:r>
    </w:p>
    <w:p w14:paraId="3AECFA1E" w14:textId="7E9E468A" w:rsidR="009B0870" w:rsidRPr="00067853" w:rsidRDefault="00384E75" w:rsidP="00384E75">
      <w:pPr>
        <w:pStyle w:val="BodyText"/>
      </w:pPr>
      <w:r w:rsidRPr="00067853">
        <w:t>Authorization of 2 months may be granted for continued treatment in members requesting reauthorization for hypercalcemia of malignancy who are experiencing benefit from therapy as evidenced by disease stability or disease improvement.</w:t>
      </w:r>
    </w:p>
    <w:p w14:paraId="2D6F24BC" w14:textId="3E29269B" w:rsidR="00384E75" w:rsidRPr="00067853" w:rsidRDefault="00384E75" w:rsidP="00384E75">
      <w:pPr>
        <w:pStyle w:val="Heading3"/>
      </w:pPr>
      <w:r w:rsidRPr="00067853">
        <w:t xml:space="preserve">All </w:t>
      </w:r>
      <w:r w:rsidR="00067853" w:rsidRPr="00067853">
        <w:t>Other Indications</w:t>
      </w:r>
    </w:p>
    <w:p w14:paraId="1FD3601D" w14:textId="19051991" w:rsidR="00BE55E6" w:rsidRPr="00067853" w:rsidRDefault="00384E75" w:rsidP="00067853">
      <w:pPr>
        <w:pStyle w:val="BodyText"/>
      </w:pPr>
      <w:r w:rsidRPr="00067853">
        <w:t>Authorization of 12 months may be granted for continued treatment in members requesting reauthorization for an indication listed in the coverage criteria who are experiencing benefit from therapy as evidenced by disease stability or disease improvement.</w:t>
      </w:r>
    </w:p>
    <w:p w14:paraId="784D6ED7" w14:textId="73B285D9" w:rsidR="008B1332" w:rsidRPr="00067853" w:rsidRDefault="00B65538" w:rsidP="008B1332">
      <w:pPr>
        <w:pStyle w:val="Heading2"/>
      </w:pPr>
      <w:r w:rsidRPr="00067853">
        <w:t>Appendix</w:t>
      </w:r>
    </w:p>
    <w:p w14:paraId="4449C304" w14:textId="2F62FDE7" w:rsidR="00384E75" w:rsidRPr="00C0555E" w:rsidRDefault="00A30F8D" w:rsidP="00C0555E">
      <w:pPr>
        <w:pStyle w:val="Heading3"/>
        <w:rPr>
          <w:vertAlign w:val="superscript"/>
        </w:rPr>
      </w:pPr>
      <w:r>
        <w:t xml:space="preserve">Appendix: </w:t>
      </w:r>
      <w:r w:rsidR="00384E75" w:rsidRPr="00067853">
        <w:t xml:space="preserve">Clinical </w:t>
      </w:r>
      <w:r w:rsidR="00BC5DD7">
        <w:t>R</w:t>
      </w:r>
      <w:r w:rsidR="00384E75" w:rsidRPr="00067853">
        <w:t xml:space="preserve">easons </w:t>
      </w:r>
      <w:r w:rsidR="006A1451">
        <w:t>t</w:t>
      </w:r>
      <w:r w:rsidR="00384E75" w:rsidRPr="00067853">
        <w:t xml:space="preserve">o </w:t>
      </w:r>
      <w:r w:rsidR="00BC5DD7">
        <w:t>A</w:t>
      </w:r>
      <w:r w:rsidR="00384E75" w:rsidRPr="00067853">
        <w:t xml:space="preserve">void IV </w:t>
      </w:r>
      <w:r w:rsidR="00BC5DD7">
        <w:t>B</w:t>
      </w:r>
      <w:r w:rsidR="00384E75" w:rsidRPr="00067853">
        <w:t xml:space="preserve">isphosphonate </w:t>
      </w:r>
      <w:r w:rsidR="00BC5DD7">
        <w:t>T</w:t>
      </w:r>
      <w:r w:rsidR="00384E75" w:rsidRPr="00067853">
        <w:t>herapy</w:t>
      </w:r>
      <w:r w:rsidR="003D663F">
        <w:rPr>
          <w:vertAlign w:val="superscript"/>
        </w:rPr>
        <w:t>8</w:t>
      </w:r>
    </w:p>
    <w:p w14:paraId="5F1A19C0" w14:textId="231D4CC4" w:rsidR="00614D53" w:rsidRPr="00067853" w:rsidRDefault="00614D53" w:rsidP="00067853">
      <w:pPr>
        <w:pStyle w:val="ListParagraph"/>
        <w:numPr>
          <w:ilvl w:val="0"/>
          <w:numId w:val="35"/>
        </w:numPr>
      </w:pPr>
      <w:r w:rsidRPr="00067853">
        <w:t>Renal insufficiency (creatinine clearance &lt;</w:t>
      </w:r>
      <w:r w:rsidR="00F41531">
        <w:t xml:space="preserve"> </w:t>
      </w:r>
      <w:r w:rsidRPr="00067853">
        <w:t>35 mL/min)</w:t>
      </w:r>
    </w:p>
    <w:p w14:paraId="075AB8A4" w14:textId="77777777" w:rsidR="00614D53" w:rsidRPr="00067853" w:rsidRDefault="00614D53" w:rsidP="00067853">
      <w:pPr>
        <w:pStyle w:val="ListParagraph"/>
        <w:numPr>
          <w:ilvl w:val="0"/>
          <w:numId w:val="35"/>
        </w:numPr>
      </w:pPr>
      <w:r w:rsidRPr="00067853">
        <w:t>Acute renal impairment</w:t>
      </w:r>
    </w:p>
    <w:p w14:paraId="6859136E" w14:textId="22C5BC30" w:rsidR="009B0870" w:rsidRPr="00067853" w:rsidRDefault="00614D53" w:rsidP="00067853">
      <w:pPr>
        <w:pStyle w:val="ListParagraph"/>
        <w:numPr>
          <w:ilvl w:val="0"/>
          <w:numId w:val="35"/>
        </w:numPr>
      </w:pPr>
      <w:r w:rsidRPr="00067853">
        <w:t>History of intolerance to an IV bisphosphonate</w:t>
      </w:r>
      <w:bookmarkStart w:id="1" w:name="S2.2"/>
      <w:bookmarkStart w:id="2" w:name="section-2.2"/>
      <w:bookmarkStart w:id="3" w:name="section-2.2.1"/>
      <w:bookmarkStart w:id="4" w:name="section-2.2.2"/>
      <w:bookmarkEnd w:id="1"/>
      <w:bookmarkEnd w:id="2"/>
      <w:bookmarkEnd w:id="3"/>
      <w:bookmarkEnd w:id="4"/>
    </w:p>
    <w:p w14:paraId="10DA4309" w14:textId="16D135B6" w:rsidR="00FF66BF" w:rsidRPr="00067853" w:rsidRDefault="00FF66BF" w:rsidP="00067853">
      <w:pPr>
        <w:pStyle w:val="Heading2"/>
      </w:pPr>
      <w:r w:rsidRPr="00067853">
        <w:t>References</w:t>
      </w:r>
    </w:p>
    <w:p w14:paraId="75E96798" w14:textId="6A7471D8" w:rsidR="00A30F8D" w:rsidRDefault="00614D53" w:rsidP="00C0555E">
      <w:pPr>
        <w:pStyle w:val="ReferenceOrdered"/>
        <w:numPr>
          <w:ilvl w:val="0"/>
          <w:numId w:val="39"/>
        </w:numPr>
      </w:pPr>
      <w:r w:rsidRPr="00067853">
        <w:t>Xgeva [package insert]. Thousand Oaks, CA: Amgen Inc.; June 2020.</w:t>
      </w:r>
    </w:p>
    <w:p w14:paraId="1477DEDF" w14:textId="2FF5FA77" w:rsidR="009D46A2" w:rsidRDefault="009D46A2" w:rsidP="00C0555E">
      <w:pPr>
        <w:pStyle w:val="ReferenceOrdered"/>
        <w:numPr>
          <w:ilvl w:val="0"/>
          <w:numId w:val="39"/>
        </w:numPr>
      </w:pPr>
      <w:proofErr w:type="spellStart"/>
      <w:r>
        <w:t>Bomyntra</w:t>
      </w:r>
      <w:proofErr w:type="spellEnd"/>
      <w:r>
        <w:t xml:space="preserve"> [package insert]. Lake Zurich, IL: Fresenius </w:t>
      </w:r>
      <w:proofErr w:type="spellStart"/>
      <w:r>
        <w:t>Kabi</w:t>
      </w:r>
      <w:proofErr w:type="spellEnd"/>
      <w:r>
        <w:t xml:space="preserve"> USA, LLC</w:t>
      </w:r>
      <w:r w:rsidR="00F25ABE">
        <w:t>;</w:t>
      </w:r>
      <w:r>
        <w:t xml:space="preserve"> March 2025</w:t>
      </w:r>
      <w:r w:rsidR="003D663F">
        <w:t>.</w:t>
      </w:r>
    </w:p>
    <w:p w14:paraId="5AEC1976" w14:textId="676559D6" w:rsidR="00BC5DD7" w:rsidRDefault="00BC5DD7" w:rsidP="00C0555E">
      <w:pPr>
        <w:pStyle w:val="ReferenceOrdered"/>
        <w:numPr>
          <w:ilvl w:val="0"/>
          <w:numId w:val="39"/>
        </w:numPr>
      </w:pPr>
      <w:r>
        <w:t>Osenvelt [package insert]. Incheon, South Korea: Celltrion Inc.; February 2025.</w:t>
      </w:r>
    </w:p>
    <w:p w14:paraId="3F40CEFF" w14:textId="73064A66" w:rsidR="00614D53" w:rsidRDefault="00A30F8D" w:rsidP="00C0555E">
      <w:pPr>
        <w:pStyle w:val="ReferenceOrdered"/>
        <w:numPr>
          <w:ilvl w:val="0"/>
          <w:numId w:val="39"/>
        </w:numPr>
      </w:pPr>
      <w:proofErr w:type="spellStart"/>
      <w:r>
        <w:t>Wyost</w:t>
      </w:r>
      <w:proofErr w:type="spellEnd"/>
      <w:r>
        <w:t xml:space="preserve"> [package insert]. Princeton, NJ: Sandoz Inc.; March 2024.</w:t>
      </w:r>
    </w:p>
    <w:p w14:paraId="7764A83E" w14:textId="6A7BF74C" w:rsidR="00D17BD4" w:rsidRPr="00067853" w:rsidRDefault="00D17BD4" w:rsidP="00D17BD4">
      <w:pPr>
        <w:pStyle w:val="ReferenceOrdered"/>
        <w:numPr>
          <w:ilvl w:val="0"/>
          <w:numId w:val="39"/>
        </w:numPr>
      </w:pPr>
      <w:r>
        <w:t xml:space="preserve">Xbryk [package insert]. Incheon, South Korea: Samsung </w:t>
      </w:r>
      <w:proofErr w:type="spellStart"/>
      <w:r>
        <w:t>Bioepis</w:t>
      </w:r>
      <w:proofErr w:type="spellEnd"/>
      <w:r w:rsidR="005246CF">
        <w:t>;</w:t>
      </w:r>
      <w:r>
        <w:t xml:space="preserve"> February 2025.</w:t>
      </w:r>
    </w:p>
    <w:p w14:paraId="3451E342" w14:textId="782848BC" w:rsidR="00614D53" w:rsidRPr="00067853" w:rsidRDefault="00614D53" w:rsidP="00C0555E">
      <w:pPr>
        <w:pStyle w:val="ReferenceOrdered"/>
        <w:numPr>
          <w:ilvl w:val="0"/>
          <w:numId w:val="39"/>
        </w:numPr>
      </w:pPr>
      <w:r w:rsidRPr="00067853">
        <w:t>The NCCN Drugs &amp; Biologics Compendium™ © 202</w:t>
      </w:r>
      <w:r w:rsidR="005246CF">
        <w:t>5</w:t>
      </w:r>
      <w:r w:rsidRPr="00067853">
        <w:t xml:space="preserve"> National Comprehensive Cancer Network, Inc. http://www.nccn.org. Accessed </w:t>
      </w:r>
      <w:r w:rsidR="003D663F">
        <w:t>April</w:t>
      </w:r>
      <w:r w:rsidRPr="00067853">
        <w:t xml:space="preserve"> </w:t>
      </w:r>
      <w:r w:rsidR="003D663F">
        <w:t>8</w:t>
      </w:r>
      <w:r w:rsidRPr="00067853">
        <w:t>, 202</w:t>
      </w:r>
      <w:r w:rsidR="003A4392">
        <w:t>5</w:t>
      </w:r>
      <w:r w:rsidRPr="00067853">
        <w:t>.</w:t>
      </w:r>
    </w:p>
    <w:p w14:paraId="44881904" w14:textId="080D4930" w:rsidR="00614D53" w:rsidRPr="00067853" w:rsidRDefault="00614D53" w:rsidP="00C0555E">
      <w:pPr>
        <w:pStyle w:val="ReferenceOrdered"/>
        <w:numPr>
          <w:ilvl w:val="0"/>
          <w:numId w:val="39"/>
        </w:numPr>
      </w:pPr>
      <w:r w:rsidRPr="00067853">
        <w:t xml:space="preserve">Hu M, </w:t>
      </w:r>
      <w:proofErr w:type="spellStart"/>
      <w:r w:rsidRPr="00067853">
        <w:t>Glezerman</w:t>
      </w:r>
      <w:proofErr w:type="spellEnd"/>
      <w:r w:rsidRPr="00067853">
        <w:t xml:space="preserve"> IG, </w:t>
      </w:r>
      <w:proofErr w:type="spellStart"/>
      <w:r w:rsidRPr="00067853">
        <w:t>Leboulleux</w:t>
      </w:r>
      <w:proofErr w:type="spellEnd"/>
      <w:r w:rsidRPr="00067853">
        <w:t xml:space="preserve"> S, et al. Denosumab for treatment of hypercalcemia of malignancy. J Clin Endocrinol Metab. 2014;99(9):3144-3152.</w:t>
      </w:r>
    </w:p>
    <w:p w14:paraId="34349794" w14:textId="7FD9AD8D" w:rsidR="00614D53" w:rsidRDefault="00614D53" w:rsidP="00C0555E">
      <w:pPr>
        <w:pStyle w:val="ReferenceOrdered"/>
        <w:numPr>
          <w:ilvl w:val="0"/>
          <w:numId w:val="39"/>
        </w:numPr>
      </w:pPr>
      <w:r w:rsidRPr="00067853">
        <w:t xml:space="preserve">Bisphosphonates. Drug Facts and Comparisons. Facts &amp; Comparisons® </w:t>
      </w:r>
      <w:proofErr w:type="spellStart"/>
      <w:r w:rsidRPr="00067853">
        <w:t>eAnswers</w:t>
      </w:r>
      <w:proofErr w:type="spellEnd"/>
      <w:r w:rsidRPr="00067853">
        <w:t xml:space="preserve">. Wolters Kluwer Health Inc. Riverwoods, IL. Accessed October </w:t>
      </w:r>
      <w:r w:rsidR="00A30F8D">
        <w:t>3</w:t>
      </w:r>
      <w:r w:rsidRPr="00067853">
        <w:t>, 202</w:t>
      </w:r>
      <w:r w:rsidR="00A30F8D">
        <w:t>4</w:t>
      </w:r>
      <w:r w:rsidRPr="00067853">
        <w:t xml:space="preserve">. </w:t>
      </w:r>
      <w:r w:rsidR="00AD2F32" w:rsidRPr="00C0555E">
        <w:t>https://online.factsandcomparisons.com</w:t>
      </w:r>
      <w:r w:rsidR="00AF6172">
        <w:t>.</w:t>
      </w:r>
    </w:p>
    <w:sectPr w:rsidR="00614D53" w:rsidSect="006859D9">
      <w:footerReference w:type="defaul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C89A" w14:textId="77777777" w:rsidR="00A2724F" w:rsidRDefault="00A2724F">
      <w:r>
        <w:separator/>
      </w:r>
    </w:p>
  </w:endnote>
  <w:endnote w:type="continuationSeparator" w:id="0">
    <w:p w14:paraId="3FB70ECB" w14:textId="77777777" w:rsidR="00A2724F" w:rsidRDefault="00A2724F">
      <w:r>
        <w:continuationSeparator/>
      </w:r>
    </w:p>
  </w:endnote>
  <w:endnote w:type="continuationNotice" w:id="1">
    <w:p w14:paraId="058AEB43" w14:textId="77777777" w:rsidR="00A2724F" w:rsidRDefault="00A272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DBD1" w14:textId="77777777" w:rsidR="00AF6172" w:rsidRPr="00EC47B6" w:rsidRDefault="00AF6172" w:rsidP="00AF61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067853">
      <w:rPr>
        <w:rFonts w:cs="Arial"/>
        <w:noProof/>
        <w:sz w:val="16"/>
        <w:szCs w:val="16"/>
      </w:rPr>
      <w:t>Xgeva</w:t>
    </w:r>
    <w:r>
      <w:rPr>
        <w:rFonts w:cs="Arial"/>
        <w:noProof/>
        <w:sz w:val="16"/>
        <w:szCs w:val="16"/>
      </w:rPr>
      <w:t>-Wyost SGM</w:t>
    </w:r>
    <w:r>
      <w:rPr>
        <w:rFonts w:cs="Arial"/>
        <w:noProof/>
        <w:snapToGrid w:val="0"/>
        <w:color w:val="000000"/>
        <w:sz w:val="16"/>
        <w:szCs w:val="16"/>
      </w:rPr>
      <w:t xml:space="preserve"> 2152-A </w:t>
    </w:r>
    <w:r w:rsidRPr="00067853">
      <w:rPr>
        <w:rFonts w:cs="Arial"/>
        <w:noProof/>
        <w:sz w:val="16"/>
        <w:szCs w:val="16"/>
      </w:rPr>
      <w:t>202</w:t>
    </w:r>
    <w:r>
      <w:rPr>
        <w:rFonts w:cs="Arial"/>
        <w:noProof/>
        <w:sz w:val="16"/>
        <w:szCs w:val="16"/>
      </w:rPr>
      <w:t>4_R</w:t>
    </w:r>
    <w:r w:rsidRPr="00067853">
      <w:rPr>
        <w:rFonts w:cs="Arial"/>
        <w:noProof/>
        <w:sz w:val="16"/>
        <w:szCs w:val="16"/>
      </w:rPr>
      <w:t>.docx</w:t>
    </w:r>
    <w:r w:rsidRPr="00EC47B6">
      <w:rPr>
        <w:rFonts w:cs="Arial"/>
        <w:noProof/>
        <w:sz w:val="16"/>
        <w:szCs w:val="16"/>
      </w:rPr>
      <w:fldChar w:fldCharType="end"/>
    </w:r>
    <w:r w:rsidRPr="00EC47B6">
      <w:rPr>
        <w:rFonts w:cs="Arial"/>
        <w:snapToGrid w:val="0"/>
        <w:color w:val="000000"/>
        <w:sz w:val="16"/>
      </w:rPr>
      <w:tab/>
      <w:t>© 2024 CVS Caremark. All rights reserved.</w:t>
    </w:r>
  </w:p>
  <w:p w14:paraId="501EB718" w14:textId="77777777" w:rsidR="00AF6172" w:rsidRPr="00EC47B6" w:rsidRDefault="00AF6172" w:rsidP="00AF61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6B3901F5" w:rsidR="00F75C81" w:rsidRPr="00AA1E6A" w:rsidRDefault="00AF6172" w:rsidP="00C0555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A35C5C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87DD8" w:rsidRPr="00587DD8">
      <w:rPr>
        <w:rFonts w:cs="Arial"/>
        <w:noProof/>
        <w:sz w:val="16"/>
        <w:szCs w:val="16"/>
      </w:rPr>
      <w:t>Xgeva and</w:t>
    </w:r>
    <w:r w:rsidR="00587DD8">
      <w:rPr>
        <w:rFonts w:cs="Arial"/>
        <w:noProof/>
        <w:snapToGrid w:val="0"/>
        <w:color w:val="000000"/>
        <w:sz w:val="16"/>
        <w:szCs w:val="16"/>
      </w:rPr>
      <w:t xml:space="preserve"> Biosimilars </w:t>
    </w:r>
    <w:r w:rsidR="00587DD8" w:rsidRPr="00587DD8">
      <w:rPr>
        <w:rFonts w:cs="Arial"/>
        <w:noProof/>
        <w:sz w:val="16"/>
        <w:szCs w:val="16"/>
      </w:rPr>
      <w:t>SGM 2152-A P2024b.docx</w:t>
    </w:r>
    <w:r w:rsidRPr="00EC47B6">
      <w:rPr>
        <w:rFonts w:cs="Arial"/>
        <w:noProof/>
        <w:sz w:val="16"/>
        <w:szCs w:val="16"/>
      </w:rPr>
      <w:fldChar w:fldCharType="end"/>
    </w:r>
    <w:r w:rsidRPr="00EC47B6">
      <w:rPr>
        <w:rFonts w:cs="Arial"/>
        <w:snapToGrid w:val="0"/>
        <w:color w:val="000000"/>
        <w:sz w:val="16"/>
      </w:rPr>
      <w:tab/>
      <w:t>© 202</w:t>
    </w:r>
    <w:r w:rsidR="00BC4CD8">
      <w:rPr>
        <w:rFonts w:cs="Arial"/>
        <w:snapToGrid w:val="0"/>
        <w:color w:val="000000"/>
        <w:sz w:val="16"/>
      </w:rPr>
      <w:t>5</w:t>
    </w:r>
    <w:r w:rsidRPr="00EC47B6">
      <w:rPr>
        <w:rFonts w:cs="Arial"/>
        <w:snapToGrid w:val="0"/>
        <w:color w:val="000000"/>
        <w:sz w:val="16"/>
      </w:rPr>
      <w:t xml:space="preserve"> CVS Caremark. All rights reserved.</w:t>
    </w:r>
  </w:p>
  <w:p w14:paraId="39BFE579" w14:textId="0ED693B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B92A4EE" w:rsidR="00ED04EC" w:rsidRPr="00F50D98" w:rsidRDefault="00F50D98" w:rsidP="00C0555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97C4" w14:textId="6FAE774F" w:rsidR="00D86576" w:rsidRPr="00EC47B6" w:rsidRDefault="00D86576" w:rsidP="00D8657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87DD8" w:rsidRPr="00587DD8">
      <w:rPr>
        <w:rFonts w:cs="Arial"/>
        <w:noProof/>
        <w:sz w:val="16"/>
        <w:szCs w:val="16"/>
      </w:rPr>
      <w:t>Xgeva and</w:t>
    </w:r>
    <w:r w:rsidR="00587DD8">
      <w:rPr>
        <w:rFonts w:cs="Arial"/>
        <w:noProof/>
        <w:snapToGrid w:val="0"/>
        <w:color w:val="000000"/>
        <w:sz w:val="16"/>
        <w:szCs w:val="16"/>
      </w:rPr>
      <w:t xml:space="preserve"> Biosimilars </w:t>
    </w:r>
    <w:r w:rsidR="00587DD8" w:rsidRPr="00587DD8">
      <w:rPr>
        <w:rFonts w:cs="Arial"/>
        <w:noProof/>
        <w:sz w:val="16"/>
        <w:szCs w:val="16"/>
      </w:rPr>
      <w:t>SGM 2152-A P2024b.docx</w:t>
    </w:r>
    <w:r w:rsidRPr="00EC47B6">
      <w:rPr>
        <w:rFonts w:cs="Arial"/>
        <w:noProof/>
        <w:sz w:val="16"/>
        <w:szCs w:val="16"/>
      </w:rPr>
      <w:fldChar w:fldCharType="end"/>
    </w:r>
    <w:r w:rsidRPr="00EC47B6">
      <w:rPr>
        <w:rFonts w:cs="Arial"/>
        <w:snapToGrid w:val="0"/>
        <w:color w:val="000000"/>
        <w:sz w:val="16"/>
      </w:rPr>
      <w:tab/>
      <w:t>© 2024 CVS Caremark. All rights reserved.</w:t>
    </w:r>
  </w:p>
  <w:p w14:paraId="721131B6" w14:textId="77777777" w:rsidR="00D86576" w:rsidRPr="00EC47B6" w:rsidRDefault="00D86576" w:rsidP="00D8657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3B722A3B" w14:textId="2F2E24E5" w:rsidR="00067853" w:rsidRPr="00C0555E" w:rsidRDefault="00D86576" w:rsidP="00C0555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3</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9C429" w14:textId="77777777" w:rsidR="00A2724F" w:rsidRDefault="00A2724F">
      <w:r>
        <w:separator/>
      </w:r>
    </w:p>
  </w:footnote>
  <w:footnote w:type="continuationSeparator" w:id="0">
    <w:p w14:paraId="47C8F105" w14:textId="77777777" w:rsidR="00A2724F" w:rsidRDefault="00A2724F">
      <w:r>
        <w:continuationSeparator/>
      </w:r>
    </w:p>
  </w:footnote>
  <w:footnote w:type="continuationNotice" w:id="1">
    <w:p w14:paraId="7C6A2B13" w14:textId="77777777" w:rsidR="00A2724F" w:rsidRDefault="00A272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3E3382" w:rsidRDefault="00ED04EC" w:rsidP="00ED04EC">
          <w:pPr>
            <w:pStyle w:val="Header"/>
            <w:rPr>
              <w:rFonts w:cs="Arial"/>
              <w:sz w:val="16"/>
              <w:szCs w:val="16"/>
            </w:rPr>
          </w:pPr>
          <w:r w:rsidRPr="003E3382">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DDB8E85" w:rsidR="00ED04EC" w:rsidRPr="003E3382" w:rsidRDefault="00384E75" w:rsidP="00ED04EC">
          <w:pPr>
            <w:pStyle w:val="Header"/>
            <w:rPr>
              <w:rFonts w:cs="Arial"/>
              <w:sz w:val="16"/>
              <w:szCs w:val="16"/>
            </w:rPr>
          </w:pPr>
          <w:r w:rsidRPr="003E3382">
            <w:rPr>
              <w:rFonts w:cs="Arial"/>
              <w:sz w:val="16"/>
              <w:szCs w:val="16"/>
            </w:rPr>
            <w:t>2152-A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1C61B65"/>
    <w:multiLevelType w:val="hybridMultilevel"/>
    <w:tmpl w:val="3E3E5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8A75EB"/>
    <w:multiLevelType w:val="hybridMultilevel"/>
    <w:tmpl w:val="052E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0A1761"/>
    <w:multiLevelType w:val="hybridMultilevel"/>
    <w:tmpl w:val="27D43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E2219"/>
    <w:multiLevelType w:val="hybridMultilevel"/>
    <w:tmpl w:val="BEB2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535EF0"/>
    <w:multiLevelType w:val="hybridMultilevel"/>
    <w:tmpl w:val="DA34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BB5229"/>
    <w:multiLevelType w:val="hybridMultilevel"/>
    <w:tmpl w:val="82DC9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4952D1"/>
    <w:multiLevelType w:val="hybridMultilevel"/>
    <w:tmpl w:val="C8A60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A91795"/>
    <w:multiLevelType w:val="hybridMultilevel"/>
    <w:tmpl w:val="5B24F1F2"/>
    <w:lvl w:ilvl="0" w:tplc="4420E8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F0D82A2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68A0AF6"/>
    <w:multiLevelType w:val="hybridMultilevel"/>
    <w:tmpl w:val="75A49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1"/>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1"/>
  </w:num>
  <w:num w:numId="17" w16cid:durableId="2128498676">
    <w:abstractNumId w:val="34"/>
  </w:num>
  <w:num w:numId="18" w16cid:durableId="299724409">
    <w:abstractNumId w:val="28"/>
  </w:num>
  <w:num w:numId="19" w16cid:durableId="214585573">
    <w:abstractNumId w:val="16"/>
  </w:num>
  <w:num w:numId="20" w16cid:durableId="1289816170">
    <w:abstractNumId w:val="17"/>
  </w:num>
  <w:num w:numId="21" w16cid:durableId="1066490929">
    <w:abstractNumId w:val="35"/>
  </w:num>
  <w:num w:numId="22" w16cid:durableId="1472481103">
    <w:abstractNumId w:val="30"/>
  </w:num>
  <w:num w:numId="23" w16cid:durableId="1997420403">
    <w:abstractNumId w:val="33"/>
  </w:num>
  <w:num w:numId="24" w16cid:durableId="33312838">
    <w:abstractNumId w:val="29"/>
  </w:num>
  <w:num w:numId="25" w16cid:durableId="507404939">
    <w:abstractNumId w:val="18"/>
  </w:num>
  <w:num w:numId="26" w16cid:durableId="1950313333">
    <w:abstractNumId w:val="24"/>
  </w:num>
  <w:num w:numId="27" w16cid:durableId="1866016584">
    <w:abstractNumId w:val="22"/>
  </w:num>
  <w:num w:numId="28" w16cid:durableId="1151487832">
    <w:abstractNumId w:val="20"/>
  </w:num>
  <w:num w:numId="29" w16cid:durableId="878935166">
    <w:abstractNumId w:val="23"/>
  </w:num>
  <w:num w:numId="30" w16cid:durableId="977883014">
    <w:abstractNumId w:val="14"/>
  </w:num>
  <w:num w:numId="31" w16cid:durableId="1850102690">
    <w:abstractNumId w:val="19"/>
  </w:num>
  <w:num w:numId="32" w16cid:durableId="881017678">
    <w:abstractNumId w:val="25"/>
  </w:num>
  <w:num w:numId="33" w16cid:durableId="753477491">
    <w:abstractNumId w:val="15"/>
  </w:num>
  <w:num w:numId="34" w16cid:durableId="2062748457">
    <w:abstractNumId w:val="32"/>
  </w:num>
  <w:num w:numId="35" w16cid:durableId="323583585">
    <w:abstractNumId w:val="13"/>
  </w:num>
  <w:num w:numId="36" w16cid:durableId="1043677063">
    <w:abstractNumId w:val="31"/>
    <w:lvlOverride w:ilvl="0">
      <w:startOverride w:val="1"/>
    </w:lvlOverride>
  </w:num>
  <w:num w:numId="37" w16cid:durableId="1202480824">
    <w:abstractNumId w:val="31"/>
    <w:lvlOverride w:ilvl="0">
      <w:startOverride w:val="1"/>
    </w:lvlOverride>
  </w:num>
  <w:num w:numId="38" w16cid:durableId="425855961">
    <w:abstractNumId w:val="31"/>
    <w:lvlOverride w:ilvl="0">
      <w:startOverride w:val="1"/>
    </w:lvlOverride>
  </w:num>
  <w:num w:numId="39" w16cid:durableId="154343953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67853"/>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3C8"/>
    <w:rsid w:val="00094A59"/>
    <w:rsid w:val="00094AE3"/>
    <w:rsid w:val="00095B9C"/>
    <w:rsid w:val="0009781E"/>
    <w:rsid w:val="000A0CCE"/>
    <w:rsid w:val="000A1653"/>
    <w:rsid w:val="000A1ACD"/>
    <w:rsid w:val="000A2697"/>
    <w:rsid w:val="000A34B0"/>
    <w:rsid w:val="000A3543"/>
    <w:rsid w:val="000A42D7"/>
    <w:rsid w:val="000A5AE5"/>
    <w:rsid w:val="000A6C30"/>
    <w:rsid w:val="000A71EC"/>
    <w:rsid w:val="000A72BA"/>
    <w:rsid w:val="000A7983"/>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640F"/>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67B18"/>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DE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A45"/>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0AB2"/>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1C52"/>
    <w:rsid w:val="00372A21"/>
    <w:rsid w:val="00372FCD"/>
    <w:rsid w:val="0037333D"/>
    <w:rsid w:val="00374540"/>
    <w:rsid w:val="003753D0"/>
    <w:rsid w:val="003756FF"/>
    <w:rsid w:val="0037580F"/>
    <w:rsid w:val="0037664E"/>
    <w:rsid w:val="003777A6"/>
    <w:rsid w:val="00377D50"/>
    <w:rsid w:val="00377E5A"/>
    <w:rsid w:val="00381B05"/>
    <w:rsid w:val="00381B16"/>
    <w:rsid w:val="0038248C"/>
    <w:rsid w:val="00382C29"/>
    <w:rsid w:val="00382C85"/>
    <w:rsid w:val="00382CDA"/>
    <w:rsid w:val="0038309E"/>
    <w:rsid w:val="00384D85"/>
    <w:rsid w:val="00384E7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0ED"/>
    <w:rsid w:val="00395521"/>
    <w:rsid w:val="00395A71"/>
    <w:rsid w:val="00396A5B"/>
    <w:rsid w:val="00396D00"/>
    <w:rsid w:val="00397160"/>
    <w:rsid w:val="003A0693"/>
    <w:rsid w:val="003A1C70"/>
    <w:rsid w:val="003A2056"/>
    <w:rsid w:val="003A2E60"/>
    <w:rsid w:val="003A4392"/>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63F"/>
    <w:rsid w:val="003D6970"/>
    <w:rsid w:val="003D6BFA"/>
    <w:rsid w:val="003D6C2D"/>
    <w:rsid w:val="003E1C0F"/>
    <w:rsid w:val="003E260D"/>
    <w:rsid w:val="003E28D8"/>
    <w:rsid w:val="003E3201"/>
    <w:rsid w:val="003E3382"/>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AD5"/>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0D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1F43"/>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5EE"/>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16A"/>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4F4B"/>
    <w:rsid w:val="0050562E"/>
    <w:rsid w:val="005057A5"/>
    <w:rsid w:val="00505BEF"/>
    <w:rsid w:val="00505D39"/>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6CF"/>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BD0"/>
    <w:rsid w:val="00585FFF"/>
    <w:rsid w:val="0058649E"/>
    <w:rsid w:val="0058662F"/>
    <w:rsid w:val="0058694F"/>
    <w:rsid w:val="00586ED1"/>
    <w:rsid w:val="005878D0"/>
    <w:rsid w:val="00587DD8"/>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FE2"/>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1825"/>
    <w:rsid w:val="006025DE"/>
    <w:rsid w:val="00602E3A"/>
    <w:rsid w:val="00604463"/>
    <w:rsid w:val="00604555"/>
    <w:rsid w:val="00604A0F"/>
    <w:rsid w:val="00604DB2"/>
    <w:rsid w:val="00606DBB"/>
    <w:rsid w:val="006077A7"/>
    <w:rsid w:val="00607959"/>
    <w:rsid w:val="0060798E"/>
    <w:rsid w:val="00610F93"/>
    <w:rsid w:val="00610FBE"/>
    <w:rsid w:val="00611331"/>
    <w:rsid w:val="00613278"/>
    <w:rsid w:val="006138E0"/>
    <w:rsid w:val="00613BFA"/>
    <w:rsid w:val="00614799"/>
    <w:rsid w:val="00614D53"/>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03B"/>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9D9"/>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451"/>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6B45"/>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B0E"/>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CF3"/>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949"/>
    <w:rsid w:val="00782BB0"/>
    <w:rsid w:val="007831D6"/>
    <w:rsid w:val="00785111"/>
    <w:rsid w:val="00785A2E"/>
    <w:rsid w:val="007860BA"/>
    <w:rsid w:val="00786EFB"/>
    <w:rsid w:val="007876BF"/>
    <w:rsid w:val="00787FE9"/>
    <w:rsid w:val="007908C6"/>
    <w:rsid w:val="007912A7"/>
    <w:rsid w:val="00792924"/>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1A35"/>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40C"/>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AC5"/>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AD4"/>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4E9F"/>
    <w:rsid w:val="009857F1"/>
    <w:rsid w:val="00985A7D"/>
    <w:rsid w:val="00985EC8"/>
    <w:rsid w:val="00985F93"/>
    <w:rsid w:val="00986BF8"/>
    <w:rsid w:val="00986C82"/>
    <w:rsid w:val="00990A69"/>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870"/>
    <w:rsid w:val="009B0ADA"/>
    <w:rsid w:val="009B0F2B"/>
    <w:rsid w:val="009B1482"/>
    <w:rsid w:val="009B1B86"/>
    <w:rsid w:val="009B35DC"/>
    <w:rsid w:val="009B3740"/>
    <w:rsid w:val="009B579E"/>
    <w:rsid w:val="009B5866"/>
    <w:rsid w:val="009B5A24"/>
    <w:rsid w:val="009B6153"/>
    <w:rsid w:val="009B6DF9"/>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46A2"/>
    <w:rsid w:val="009D56AA"/>
    <w:rsid w:val="009D60F4"/>
    <w:rsid w:val="009D6686"/>
    <w:rsid w:val="009D6C0F"/>
    <w:rsid w:val="009D6D3D"/>
    <w:rsid w:val="009D6D6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8AF"/>
    <w:rsid w:val="00A14BF4"/>
    <w:rsid w:val="00A14F1C"/>
    <w:rsid w:val="00A156C9"/>
    <w:rsid w:val="00A15AE5"/>
    <w:rsid w:val="00A16536"/>
    <w:rsid w:val="00A16E35"/>
    <w:rsid w:val="00A20159"/>
    <w:rsid w:val="00A2137A"/>
    <w:rsid w:val="00A21480"/>
    <w:rsid w:val="00A23BE3"/>
    <w:rsid w:val="00A24116"/>
    <w:rsid w:val="00A242BE"/>
    <w:rsid w:val="00A25BB6"/>
    <w:rsid w:val="00A2724F"/>
    <w:rsid w:val="00A278EB"/>
    <w:rsid w:val="00A30ABB"/>
    <w:rsid w:val="00A30F8D"/>
    <w:rsid w:val="00A320D9"/>
    <w:rsid w:val="00A326BC"/>
    <w:rsid w:val="00A32801"/>
    <w:rsid w:val="00A32DF4"/>
    <w:rsid w:val="00A33A01"/>
    <w:rsid w:val="00A33BC1"/>
    <w:rsid w:val="00A33C4B"/>
    <w:rsid w:val="00A33F92"/>
    <w:rsid w:val="00A342EB"/>
    <w:rsid w:val="00A35876"/>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8DB"/>
    <w:rsid w:val="00A80B85"/>
    <w:rsid w:val="00A80C6E"/>
    <w:rsid w:val="00A80EB5"/>
    <w:rsid w:val="00A810B5"/>
    <w:rsid w:val="00A8241F"/>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2F32"/>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172"/>
    <w:rsid w:val="00AF6487"/>
    <w:rsid w:val="00AF6F09"/>
    <w:rsid w:val="00B00963"/>
    <w:rsid w:val="00B014CC"/>
    <w:rsid w:val="00B01716"/>
    <w:rsid w:val="00B01BDE"/>
    <w:rsid w:val="00B01F0B"/>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56F1"/>
    <w:rsid w:val="00B36321"/>
    <w:rsid w:val="00B4086C"/>
    <w:rsid w:val="00B40FC0"/>
    <w:rsid w:val="00B42A6D"/>
    <w:rsid w:val="00B42F63"/>
    <w:rsid w:val="00B43D43"/>
    <w:rsid w:val="00B45625"/>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3EEF"/>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CD8"/>
    <w:rsid w:val="00BC51D6"/>
    <w:rsid w:val="00BC51E9"/>
    <w:rsid w:val="00BC5DD7"/>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AD"/>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8AC"/>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55E"/>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27D46"/>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26"/>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40B"/>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B66"/>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49CC"/>
    <w:rsid w:val="00CC5112"/>
    <w:rsid w:val="00CC5559"/>
    <w:rsid w:val="00CC5E15"/>
    <w:rsid w:val="00CC63BD"/>
    <w:rsid w:val="00CC64F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D96"/>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D4"/>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6920"/>
    <w:rsid w:val="00D67252"/>
    <w:rsid w:val="00D70C19"/>
    <w:rsid w:val="00D71176"/>
    <w:rsid w:val="00D71FF6"/>
    <w:rsid w:val="00D72488"/>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576"/>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52D"/>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DC4"/>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5D89"/>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9BB"/>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6B2"/>
    <w:rsid w:val="00F137E0"/>
    <w:rsid w:val="00F13888"/>
    <w:rsid w:val="00F139A4"/>
    <w:rsid w:val="00F1412A"/>
    <w:rsid w:val="00F14B6C"/>
    <w:rsid w:val="00F15545"/>
    <w:rsid w:val="00F16EAA"/>
    <w:rsid w:val="00F1748F"/>
    <w:rsid w:val="00F17594"/>
    <w:rsid w:val="00F17E4B"/>
    <w:rsid w:val="00F2074F"/>
    <w:rsid w:val="00F2116A"/>
    <w:rsid w:val="00F21995"/>
    <w:rsid w:val="00F21B41"/>
    <w:rsid w:val="00F22A6D"/>
    <w:rsid w:val="00F23678"/>
    <w:rsid w:val="00F23747"/>
    <w:rsid w:val="00F24307"/>
    <w:rsid w:val="00F246C7"/>
    <w:rsid w:val="00F2497D"/>
    <w:rsid w:val="00F252EE"/>
    <w:rsid w:val="00F258D4"/>
    <w:rsid w:val="00F25ABE"/>
    <w:rsid w:val="00F2670F"/>
    <w:rsid w:val="00F26FDE"/>
    <w:rsid w:val="00F30B00"/>
    <w:rsid w:val="00F314FE"/>
    <w:rsid w:val="00F31BBD"/>
    <w:rsid w:val="00F3318B"/>
    <w:rsid w:val="00F337B5"/>
    <w:rsid w:val="00F3569A"/>
    <w:rsid w:val="00F35729"/>
    <w:rsid w:val="00F35823"/>
    <w:rsid w:val="00F35D8B"/>
    <w:rsid w:val="00F35DD8"/>
    <w:rsid w:val="00F36059"/>
    <w:rsid w:val="00F37823"/>
    <w:rsid w:val="00F3785E"/>
    <w:rsid w:val="00F3796F"/>
    <w:rsid w:val="00F37FBD"/>
    <w:rsid w:val="00F401A3"/>
    <w:rsid w:val="00F40B91"/>
    <w:rsid w:val="00F41186"/>
    <w:rsid w:val="00F41531"/>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189"/>
    <w:rsid w:val="00F53593"/>
    <w:rsid w:val="00F53994"/>
    <w:rsid w:val="00F53DD1"/>
    <w:rsid w:val="00F54325"/>
    <w:rsid w:val="00F547DD"/>
    <w:rsid w:val="00F549F9"/>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0F6"/>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E0E"/>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B6C692BB-25F2-4F69-B02D-E770278150A7}"/>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562</Words>
  <Characters>3587</Characters>
  <Application>Microsoft Office Word</Application>
  <DocSecurity>0</DocSecurity>
  <Lines>123</Lines>
  <Paragraphs>112</Paragraphs>
  <ScaleCrop>false</ScaleCrop>
  <HeadingPairs>
    <vt:vector size="2" baseType="variant">
      <vt:variant>
        <vt:lpstr>Title</vt:lpstr>
      </vt:variant>
      <vt:variant>
        <vt:i4>1</vt:i4>
      </vt:variant>
    </vt:vector>
  </HeadingPairs>
  <TitlesOfParts>
    <vt:vector size="1" baseType="lpstr">
      <vt:lpstr>Xgeva 2152-A SGM 2023</vt:lpstr>
    </vt:vector>
  </TitlesOfParts>
  <Company>PCS Health Systems</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Xgeva and Biosimilars SGM 2152-A 2024b</dc:title>
  <dc:subject>Xgeva and Biosimilars SGM 2152-A 2024b</dc:subject>
  <dc:creator>CVS Caremark</dc:creator>
  <cp:keywords/>
  <cp:lastModifiedBy>Ortiz, Erica M</cp:lastModifiedBy>
  <cp:revision>5</cp:revision>
  <cp:lastPrinted>2018-01-09T05:01:00Z</cp:lastPrinted>
  <dcterms:created xsi:type="dcterms:W3CDTF">2025-04-16T19:18:00Z</dcterms:created>
  <dcterms:modified xsi:type="dcterms:W3CDTF">2025-04-16T19:20:00Z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21198400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